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Fuite de données : liste de vérification</w:t>
      </w:r>
    </w:p>
    <w:p>
      <w:pPr>
        <w:pStyle w:val="Normal"/>
      </w:pPr>
      <w:r>
        <w:t xml:space="preserve">À imprimer et à cocher. Kit complet, sources et modèles de lettres : https://chiffrons.fr/outils/kit-fuite-de-donnees/ — mis à jour le 3 novembre 2026.</w:t>
      </w:r>
    </w:p>
    <w:p>
      <w:pPr>
        <w:pStyle w:val="Heading1"/>
      </w:pPr>
      <w:r>
        <w:t xml:space="preserve">Mon dossier</w:t>
      </w:r>
    </w:p>
    <w:p>
      <w:pPr>
        <w:pStyle w:val="Ligne"/>
      </w:pPr>
      <w:r>
        <w:rPr>
          <w:b/>
        </w:rPr>
        <w:t xml:space="preserve">Organisme concerné</w:t>
      </w:r>
      <w:r>
        <w:t xml:space="preserve"> : ______________________________________</w:t>
      </w:r>
    </w:p>
    <w:p>
      <w:pPr>
        <w:pStyle w:val="Ligne"/>
      </w:pPr>
      <w:r>
        <w:rPr>
          <w:b/>
        </w:rPr>
        <w:t xml:space="preserve">Date de l'annonce</w:t>
      </w:r>
      <w:r>
        <w:t xml:space="preserve"> : ______________________________________</w:t>
      </w:r>
    </w:p>
    <w:p>
      <w:pPr>
        <w:pStyle w:val="Ligne"/>
      </w:pPr>
      <w:r>
        <w:rPr>
          <w:b/>
        </w:rPr>
        <w:t xml:space="preserve">Données concernées</w:t>
      </w:r>
      <w:r>
        <w:t xml:space="preserve"> : ______________________________________</w:t>
      </w:r>
    </w:p>
    <w:p>
      <w:pPr>
        <w:pStyle w:val="Ligne"/>
      </w:pPr>
      <w:r>
        <w:rPr>
          <w:b/>
        </w:rPr>
        <w:t xml:space="preserve">Ma référence (n° de client…)</w:t>
      </w:r>
      <w:r>
        <w:t xml:space="preserve"> : ______________________________________</w:t>
      </w:r>
    </w:p>
    <w:p>
      <w:pPr>
        <w:pStyle w:val="Heading1"/>
      </w:pPr>
      <w:r>
        <w:t xml:space="preserve">Jour 0 : dès l'annonce</w:t>
      </w:r>
    </w:p>
    <w:p>
      <w:pPr>
        <w:pStyle w:val="Liste"/>
      </w:pPr>
      <w:r>
        <w:t xml:space="preserve">☐	Je ne clique sur </w:t>
      </w:r>
      <w:r>
        <w:rPr>
          <w:b/>
        </w:rPr>
        <w:t xml:space="preserve">aucun lien</w:t>
      </w:r>
      <w:r>
        <w:t xml:space="preserve"> du message : je vérifie sur le site officiel, en tapant l'adresse moi-même.</w:t>
      </w:r>
    </w:p>
    <w:p>
      <w:pPr>
        <w:pStyle w:val="Liste"/>
      </w:pPr>
      <w:r>
        <w:t xml:space="preserve">☐	Je conserve le message d'information (avec ses en-têtes s'il s'agit d'un courriel).</w:t>
      </w:r>
    </w:p>
    <w:p>
      <w:pPr>
        <w:pStyle w:val="Liste"/>
      </w:pPr>
      <w:r>
        <w:t xml:space="preserve">☐	Je change le mot de passe de ma </w:t>
      </w:r>
      <w:r>
        <w:rPr>
          <w:b/>
        </w:rPr>
        <w:t xml:space="preserve">messagerie</w:t>
      </w:r>
      <w:r>
        <w:t xml:space="preserve">, puis tous ceux que je réutilisais ailleurs.</w:t>
      </w:r>
    </w:p>
    <w:p>
      <w:pPr>
        <w:pStyle w:val="Liste"/>
      </w:pPr>
      <w:r>
        <w:t xml:space="preserve">☐	J'active la </w:t>
      </w:r>
      <w:r>
        <w:rPr>
          <w:b/>
        </w:rPr>
        <w:t xml:space="preserve">double authentification</w:t>
      </w:r>
      <w:r>
        <w:t xml:space="preserve"> sur ma messagerie, ma banque et mes comptes importants.</w:t>
      </w:r>
    </w:p>
    <w:p>
      <w:pPr>
        <w:pStyle w:val="Liste"/>
      </w:pPr>
      <w:r>
        <w:t xml:space="preserve">☐	Si mon IBAN est concerné : je vérifie la liste des </w:t>
      </w:r>
      <w:r>
        <w:rPr>
          <w:b/>
        </w:rPr>
        <w:t xml:space="preserve">créanciers autorisés</w:t>
      </w:r>
      <w:r>
        <w:t xml:space="preserve"> dans mon espace bancaire.</w:t>
      </w:r>
    </w:p>
    <w:p>
      <w:pPr>
        <w:pStyle w:val="Heading1"/>
      </w:pPr>
      <w:r>
        <w:t xml:space="preserve">Semaine 1</w:t>
      </w:r>
    </w:p>
    <w:p>
      <w:pPr>
        <w:pStyle w:val="Liste"/>
      </w:pPr>
      <w:r>
        <w:t xml:space="preserve">☐	J'envoie la </w:t>
      </w:r>
      <w:r>
        <w:rPr>
          <w:b/>
        </w:rPr>
        <w:t xml:space="preserve">demande d'accès</w:t>
      </w:r>
      <w:r>
        <w:t xml:space="preserve"> (modèle 1). Envoyée le : ____ / réponse attendue avant le : ____ (un mois).</w:t>
      </w:r>
    </w:p>
    <w:p>
      <w:pPr>
        <w:pStyle w:val="Liste"/>
      </w:pPr>
      <w:r>
        <w:t xml:space="preserve">☐	J'active les notifications de paiement de ma banque.</w:t>
      </w:r>
    </w:p>
    <w:p>
      <w:pPr>
        <w:pStyle w:val="Liste"/>
      </w:pPr>
      <w:r>
        <w:t xml:space="preserve">☐	Je vérifie le téléphone et l'adresse de secours de ma messagerie, et l'absence de transfert automatique que je n'aurais pas créé.</w:t>
      </w:r>
    </w:p>
    <w:p>
      <w:pPr>
        <w:pStyle w:val="Liste"/>
      </w:pPr>
      <w:r>
        <w:t xml:space="preserve">☐	Je signale les messages frauduleux : SMS au 33700, courriels sur Signal Spam.</w:t>
      </w:r>
    </w:p>
    <w:p>
      <w:pPr>
        <w:pStyle w:val="Heading1"/>
      </w:pPr>
      <w:r>
        <w:t xml:space="preserve">Mois 1</w:t>
      </w:r>
    </w:p>
    <w:p>
      <w:pPr>
        <w:pStyle w:val="Liste"/>
      </w:pPr>
      <w:r>
        <w:t xml:space="preserve">☐	Je relis mes relevés bancaires chaque semaine.</w:t>
      </w:r>
    </w:p>
    <w:p>
      <w:pPr>
        <w:pStyle w:val="Liste"/>
      </w:pPr>
      <w:r>
        <w:t xml:space="preserve">☐	Prélèvement inconnu : je le </w:t>
      </w:r>
      <w:r>
        <w:rPr>
          <w:b/>
        </w:rPr>
        <w:t xml:space="preserve">conteste</w:t>
      </w:r>
      <w:r>
        <w:t xml:space="preserve"> auprès de ma banque, sans attendre.</w:t>
      </w:r>
    </w:p>
    <w:p>
      <w:pPr>
        <w:pStyle w:val="Liste"/>
      </w:pPr>
      <w:r>
        <w:t xml:space="preserve">☐	Pas de réponse à ma demande d'accès : </w:t>
      </w:r>
      <w:r>
        <w:rPr>
          <w:b/>
        </w:rPr>
        <w:t xml:space="preserve">réclamation CNIL</w:t>
      </w:r>
      <w:r>
        <w:t xml:space="preserve"> (modèle 2), sauf pour la fuite des impôts, où la CNIL n'en demande pas.</w:t>
      </w:r>
    </w:p>
    <w:p>
      <w:pPr>
        <w:pStyle w:val="Liste"/>
      </w:pPr>
      <w:r>
        <w:t xml:space="preserve">☐	Préjudice concret (fraude, usurpation d'identité) : je </w:t>
      </w:r>
      <w:r>
        <w:rPr>
          <w:b/>
        </w:rPr>
        <w:t xml:space="preserve">porte plainte</w:t>
      </w:r>
      <w:r>
        <w:t xml:space="preserve"> et je garde le récépissé.</w:t>
      </w:r>
    </w:p>
    <w:p>
      <w:pPr>
        <w:pStyle w:val="Heading1"/>
      </w:pPr>
      <w:r>
        <w:t xml:space="preserve">Ensuite : réparation et suites</w:t>
      </w:r>
    </w:p>
    <w:p>
      <w:pPr>
        <w:pStyle w:val="Liste"/>
      </w:pPr>
      <w:r>
        <w:t xml:space="preserve">☐	Je chiffre mon préjudice et je rassemble les justificatifs (temps, frais, messages reçus).</w:t>
      </w:r>
    </w:p>
    <w:p>
      <w:pPr>
        <w:pStyle w:val="Liste"/>
      </w:pPr>
      <w:r>
        <w:t xml:space="preserve">☐	Organisme privé : </w:t>
      </w:r>
      <w:r>
        <w:rPr>
          <w:b/>
        </w:rPr>
        <w:t xml:space="preserve">mise en demeure</w:t>
      </w:r>
      <w:r>
        <w:t xml:space="preserve"> (modèle 3). Envoyée le : ____</w:t>
      </w:r>
    </w:p>
    <w:p>
      <w:pPr>
        <w:pStyle w:val="Liste"/>
      </w:pPr>
      <w:r>
        <w:t xml:space="preserve">☐	Administration : </w:t>
      </w:r>
      <w:r>
        <w:rPr>
          <w:b/>
        </w:rPr>
        <w:t xml:space="preserve">demande préalable indemnitaire</w:t>
      </w:r>
      <w:r>
        <w:t xml:space="preserve"> (modèle 4). Envoyée le : ____ / sans réponse au bout de deux mois, rejet implicite.</w:t>
      </w:r>
    </w:p>
    <w:p>
      <w:pPr>
        <w:pStyle w:val="Liste"/>
      </w:pPr>
      <w:r>
        <w:t xml:space="preserve">☐	J'écris à mon </w:t>
      </w:r>
      <w:r>
        <w:rPr>
          <w:b/>
        </w:rPr>
        <w:t xml:space="preserve">député</w:t>
      </w:r>
      <w:r>
        <w:t xml:space="preserve"> pour une question écrite (modèle 5).</w:t>
      </w:r>
    </w:p>
    <w:p>
      <w:pPr>
        <w:pStyle w:val="Heading1"/>
      </w:pPr>
      <w:r>
        <w:t xml:space="preserve">Les délais à retenir</w:t>
      </w:r>
    </w:p>
    <w:p>
      <w:pPr>
        <w:pStyle w:val="Liste"/>
      </w:pPr>
      <w:r>
        <w:t xml:space="preserve">–	</w:t>
      </w:r>
      <w:r>
        <w:rPr>
          <w:b/>
        </w:rPr>
        <w:t xml:space="preserve">Réponse à une demande d'accès</w:t>
      </w:r>
      <w:r>
        <w:t xml:space="preserve"> : un mois (trois si complexe, annoncé dans le mois)</w:t>
      </w:r>
    </w:p>
    <w:p>
      <w:pPr>
        <w:pStyle w:val="Liste"/>
      </w:pPr>
      <w:r>
        <w:t xml:space="preserve">–	</w:t>
      </w:r>
      <w:r>
        <w:rPr>
          <w:b/>
        </w:rPr>
        <w:t xml:space="preserve">Contester un prélèvement jamais autorisé</w:t>
      </w:r>
      <w:r>
        <w:t xml:space="preserve"> : 13 mois après le débit</w:t>
      </w:r>
    </w:p>
    <w:p>
      <w:pPr>
        <w:pStyle w:val="Liste"/>
      </w:pPr>
      <w:r>
        <w:t xml:space="preserve">–	</w:t>
      </w:r>
      <w:r>
        <w:rPr>
          <w:b/>
        </w:rPr>
        <w:t xml:space="preserve">Remboursement sans motif d'un prélèvement autorisé</w:t>
      </w:r>
      <w:r>
        <w:t xml:space="preserve"> : 8 semaines après le débit</w:t>
      </w:r>
    </w:p>
    <w:p>
      <w:pPr>
        <w:pStyle w:val="Liste"/>
      </w:pPr>
      <w:r>
        <w:t xml:space="preserve">–	</w:t>
      </w:r>
      <w:r>
        <w:rPr>
          <w:b/>
        </w:rPr>
        <w:t xml:space="preserve">Remboursement d'une opération non autorisée par la banque</w:t>
      </w:r>
      <w:r>
        <w:t xml:space="preserve"> : au plus tard fin du premier jour ouvrable suivant</w:t>
      </w:r>
    </w:p>
    <w:p>
      <w:pPr>
        <w:pStyle w:val="Liste"/>
      </w:pPr>
      <w:r>
        <w:t xml:space="preserve">–	</w:t>
      </w:r>
      <w:r>
        <w:rPr>
          <w:b/>
        </w:rPr>
        <w:t xml:space="preserve">Silence d'une administration sur une demande d'argent</w:t>
      </w:r>
      <w:r>
        <w:t xml:space="preserve"> : deux mois, puis rejet implicite</w:t>
      </w:r>
    </w:p>
    <w:p>
      <w:pPr>
        <w:pStyle w:val="Liste"/>
      </w:pPr>
      <w:r>
        <w:t xml:space="preserve">–	</w:t>
      </w:r>
      <w:r>
        <w:rPr>
          <w:b/>
        </w:rPr>
        <w:t xml:space="preserve">Agir contre un organisme privé</w:t>
      </w:r>
      <w:r>
        <w:t xml:space="preserve"> : en principe 5 ans</w:t>
      </w:r>
    </w:p>
    <w:p>
      <w:pPr>
        <w:pStyle w:val="Liste"/>
      </w:pPr>
      <w:r>
        <w:t xml:space="preserve">–	</w:t>
      </w:r>
      <w:r>
        <w:rPr>
          <w:b/>
        </w:rPr>
        <w:t xml:space="preserve">Créance sur l'État ou une collectivité</w:t>
      </w:r>
      <w:r>
        <w:t xml:space="preserve"> : 4 ans à compter du 1er janvier suivant</w:t>
      </w:r>
    </w:p>
    <w:p>
      <w:pPr>
        <w:pStyle w:val="Ligne"/>
      </w:pPr>
    </w:p>
    <w:p>
      <w:pPr>
        <w:pStyle w:val="Ligne"/>
      </w:pPr>
      <w:r>
        <w:t xml:space="preserve">Document indicatif, ne constitue pas un conseil juridique. Chaque délai est sourcé sur la page du kit (Légifrance, CNIL, service-public).</w:t>
      </w:r>
    </w:p>
    <w:p>
      <w:pPr>
        <w:pStyle w:val="Ligne"/>
      </w:pPr>
      <w:r>
        <w:t xml:space="preserve">Aide gratuite : 17cyber.gouv.fr (orientation) — Info Escroqueries 0 805 805 817 (appel gratuit).</w:t>
      </w:r>
    </w:p>
    <w:p>
      <w:pPr>
        <w:pStyle w:val="Ligne"/>
      </w:pPr>
      <w:r>
        <w:t xml:space="preserve">Chiffrons.fr — programme citoyen chiffré et sourcé, publié sans parti.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r-FR"/>
      </w:rPr>
    </w:rPrDefault>
    <w:pPrDefault>
      <w:pPr>
        <w:spacing w:after="140" w:line="264" w:lineRule="auto"/>
      </w:pPr>
    </w:pPrDefault>
  </w:docDefaults>
  <w:style w:type="paragraph" w:default="1" w:styleId="Normal">
    <w:name w:val="Normal"/>
    <w:qFormat/>
    <w:pPr>
      <w:jc w:val="both"/>
    </w:pPr>
  </w:style>
  <w:style w:type="paragraph" w:styleId="Title">
    <w:name w:val="Title"/>
    <w:basedOn w:val="Normal"/>
    <w:next w:val="Normal"/>
    <w:qFormat/>
    <w:pPr>
      <w:spacing w:before="120" w:after="280"/>
      <w:jc w:val="left"/>
    </w:pPr>
    <w:rPr>
      <w:b/>
      <w:sz w:val="30"/>
      <w:szCs w:val="30"/>
      <w:color w:val="1E40AF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jc w:val="left"/>
      <w:outlineLvl w:val="0"/>
    </w:pPr>
    <w:rPr>
      <w:b/>
      <w:sz w:val="24"/>
      <w:szCs w:val="24"/>
    </w:rPr>
  </w:style>
  <w:style w:type="paragraph" w:customStyle="1" w:styleId="Ligne">
    <w:name w:val="Ligne"/>
    <w:basedOn w:val="Normal"/>
    <w:qFormat/>
    <w:pPr>
      <w:spacing w:after="0"/>
      <w:jc w:val="left"/>
    </w:pPr>
  </w:style>
  <w:style w:type="paragraph" w:customStyle="1" w:styleId="Liste">
    <w:name w:val="Liste"/>
    <w:basedOn w:val="Normal"/>
    <w:qFormat/>
    <w:pPr>
      <w:spacing w:after="80"/>
      <w:ind w:left="567" w:hanging="283"/>
    </w:pPr>
  </w:style>
  <w:style w:type="paragraph" w:customStyle="1" w:styleId="Avertissement">
    <w:name w:val="Avertissement"/>
    <w:basedOn w:val="Normal"/>
    <w:qFormat/>
    <w:pPr>
      <w:pBdr>
        <w:top w:val="single" w:sz="6" w:space="4" w:color="B45309"/>
        <w:left w:val="single" w:sz="6" w:space="4" w:color="B45309"/>
        <w:bottom w:val="single" w:sz="6" w:space="4" w:color="B45309"/>
        <w:right w:val="single" w:sz="6" w:space="4" w:color="B45309"/>
      </w:pBdr>
      <w:shd w:val="clear" w:color="auto" w:fill="FEF3C7"/>
      <w:spacing w:after="280"/>
      <w:jc w:val="left"/>
    </w:pPr>
    <w:rPr>
      <w:i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Fuite de données : liste de vérification</dc:title>
  <dc:creator>Chiffrons.fr</dc:creator>
  <dc:language>fr-FR</dc:language>
</cp:coreProperties>
</file>